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6276"/>
      </w:tblGrid>
      <w:tr w:rsidR="00DC100B" w:rsidRPr="00832267" w:rsidTr="00A37356">
        <w:trPr>
          <w:trHeight w:val="1711"/>
        </w:trPr>
        <w:tc>
          <w:tcPr>
            <w:tcW w:w="10598" w:type="dxa"/>
            <w:gridSpan w:val="2"/>
            <w:tcBorders>
              <w:bottom w:val="single" w:sz="4" w:space="0" w:color="C0C0C0"/>
            </w:tcBorders>
            <w:shd w:val="clear" w:color="auto" w:fill="C0C0C0"/>
            <w:vAlign w:val="center"/>
          </w:tcPr>
          <w:p w:rsidR="00DC100B" w:rsidRPr="007D288C" w:rsidRDefault="00DC100B" w:rsidP="00ED5A72">
            <w:pPr>
              <w:spacing w:before="20" w:after="20"/>
              <w:rPr>
                <w:rFonts w:ascii="Gill Sans MT" w:hAnsi="Gill Sans MT"/>
                <w:b/>
                <w:lang w:val="en-US"/>
              </w:rPr>
            </w:pPr>
            <w:proofErr w:type="spellStart"/>
            <w:r w:rsidRPr="007D288C">
              <w:rPr>
                <w:rFonts w:ascii="Gill Sans MT" w:hAnsi="Gill Sans MT"/>
                <w:b/>
                <w:lang w:val="en-US"/>
              </w:rPr>
              <w:t>Título</w:t>
            </w:r>
            <w:proofErr w:type="spellEnd"/>
            <w:r w:rsidRPr="007D288C">
              <w:rPr>
                <w:rFonts w:ascii="Gill Sans MT" w:hAnsi="Gill Sans MT"/>
                <w:b/>
                <w:lang w:val="en-US"/>
              </w:rPr>
              <w:t xml:space="preserve"> </w:t>
            </w:r>
            <w:proofErr w:type="spellStart"/>
            <w:r w:rsidRPr="007D288C">
              <w:rPr>
                <w:rFonts w:ascii="Gill Sans MT" w:hAnsi="Gill Sans MT"/>
                <w:b/>
                <w:lang w:val="en-US"/>
              </w:rPr>
              <w:t>Evento</w:t>
            </w:r>
            <w:proofErr w:type="spellEnd"/>
            <w:r w:rsidRPr="007D288C">
              <w:rPr>
                <w:rFonts w:ascii="Gill Sans MT" w:hAnsi="Gill Sans MT"/>
                <w:b/>
                <w:lang w:val="en-US"/>
              </w:rPr>
              <w:t xml:space="preserve">: </w:t>
            </w:r>
            <w:r w:rsidR="007D288C" w:rsidRPr="007D288C">
              <w:rPr>
                <w:rFonts w:ascii="Gill Sans MT" w:hAnsi="Gill Sans MT"/>
                <w:b/>
                <w:lang w:val="en-US"/>
              </w:rPr>
              <w:t>8th European Quality Assurance Forum</w:t>
            </w:r>
          </w:p>
          <w:p w:rsidR="00DC100B" w:rsidRPr="00832267" w:rsidRDefault="00DC100B" w:rsidP="007D288C">
            <w:pPr>
              <w:spacing w:before="20" w:after="20"/>
              <w:rPr>
                <w:rFonts w:ascii="Gill Sans MT" w:hAnsi="Gill Sans MT"/>
                <w:sz w:val="20"/>
                <w:szCs w:val="20"/>
              </w:rPr>
            </w:pPr>
            <w:r w:rsidRPr="00832267">
              <w:rPr>
                <w:rFonts w:ascii="Gill Sans MT" w:hAnsi="Gill Sans MT"/>
                <w:b/>
                <w:sz w:val="20"/>
                <w:szCs w:val="20"/>
              </w:rPr>
              <w:t xml:space="preserve">Tipo de Evento e promotores </w:t>
            </w:r>
            <w:r w:rsidRPr="00832267">
              <w:rPr>
                <w:rFonts w:ascii="Gill Sans MT" w:hAnsi="Gill Sans MT"/>
                <w:b/>
                <w:sz w:val="16"/>
                <w:szCs w:val="16"/>
              </w:rPr>
              <w:t>(Conferência/Seminário/Jornadas/etc.)</w:t>
            </w:r>
            <w:r w:rsidRPr="00832267">
              <w:rPr>
                <w:rFonts w:ascii="Gill Sans MT" w:hAnsi="Gill Sans MT"/>
                <w:b/>
              </w:rPr>
              <w:t xml:space="preserve">: </w:t>
            </w:r>
            <w:r w:rsidR="007D288C">
              <w:rPr>
                <w:rFonts w:ascii="Gill Sans MT" w:hAnsi="Gill Sans MT"/>
                <w:b/>
              </w:rPr>
              <w:t>Conferência internacional promovida</w:t>
            </w:r>
            <w:r w:rsidR="007D288C" w:rsidRPr="007D288C">
              <w:rPr>
                <w:rFonts w:ascii="Gill Sans MT" w:hAnsi="Gill Sans MT"/>
                <w:b/>
              </w:rPr>
              <w:t xml:space="preserve"> </w:t>
            </w:r>
            <w:proofErr w:type="gramStart"/>
            <w:r w:rsidR="007D288C" w:rsidRPr="007D288C">
              <w:rPr>
                <w:rFonts w:ascii="Gill Sans MT" w:hAnsi="Gill Sans MT"/>
                <w:b/>
              </w:rPr>
              <w:t>pela</w:t>
            </w:r>
            <w:proofErr w:type="gramEnd"/>
            <w:r w:rsidR="007D288C" w:rsidRPr="007D288C">
              <w:rPr>
                <w:rFonts w:ascii="Gill Sans MT" w:hAnsi="Gill Sans MT"/>
                <w:b/>
              </w:rPr>
              <w:t xml:space="preserve"> </w:t>
            </w:r>
            <w:proofErr w:type="gramStart"/>
            <w:r w:rsidR="007D288C" w:rsidRPr="007D288C">
              <w:rPr>
                <w:rFonts w:ascii="Gill Sans MT" w:hAnsi="Gill Sans MT"/>
                <w:b/>
              </w:rPr>
              <w:t>EUA</w:t>
            </w:r>
            <w:proofErr w:type="gramEnd"/>
            <w:r w:rsidR="007D288C">
              <w:rPr>
                <w:rFonts w:ascii="Gill Sans MT" w:hAnsi="Gill Sans MT"/>
                <w:b/>
              </w:rPr>
              <w:t>/ENQA/EURASHE</w:t>
            </w:r>
          </w:p>
        </w:tc>
      </w:tr>
      <w:tr w:rsidR="00DC100B" w:rsidRPr="00CF79F0" w:rsidTr="00A37356">
        <w:trPr>
          <w:trHeight w:val="540"/>
        </w:trPr>
        <w:tc>
          <w:tcPr>
            <w:tcW w:w="4322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DC100B" w:rsidRPr="00832267" w:rsidRDefault="00DC100B" w:rsidP="00ED5A72">
            <w:pPr>
              <w:spacing w:before="20" w:after="20"/>
              <w:rPr>
                <w:rFonts w:ascii="Gill Sans MT" w:hAnsi="Gill Sans MT"/>
                <w:sz w:val="20"/>
                <w:szCs w:val="20"/>
              </w:rPr>
            </w:pPr>
            <w:r w:rsidRPr="00832267">
              <w:rPr>
                <w:rFonts w:ascii="Gill Sans MT" w:hAnsi="Gill Sans MT"/>
                <w:b/>
                <w:sz w:val="20"/>
                <w:szCs w:val="20"/>
              </w:rPr>
              <w:t>Data:</w:t>
            </w:r>
            <w:r w:rsidRPr="00832267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7D288C" w:rsidRPr="007D288C">
              <w:rPr>
                <w:rFonts w:ascii="Gill Sans MT" w:hAnsi="Gill Sans MT"/>
                <w:sz w:val="20"/>
                <w:szCs w:val="20"/>
              </w:rPr>
              <w:t>21 a 23 de Novembro de 2013</w:t>
            </w:r>
          </w:p>
        </w:tc>
        <w:tc>
          <w:tcPr>
            <w:tcW w:w="627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100B" w:rsidRPr="00CF79F0" w:rsidRDefault="00DC100B" w:rsidP="00ED5A72">
            <w:pPr>
              <w:spacing w:before="20" w:after="20"/>
              <w:rPr>
                <w:rFonts w:ascii="Gill Sans MT" w:hAnsi="Gill Sans MT"/>
                <w:sz w:val="20"/>
                <w:szCs w:val="20"/>
              </w:rPr>
            </w:pPr>
            <w:r w:rsidRPr="00CF79F0">
              <w:rPr>
                <w:rFonts w:ascii="Gill Sans MT" w:hAnsi="Gill Sans MT"/>
                <w:b/>
                <w:sz w:val="20"/>
                <w:szCs w:val="20"/>
              </w:rPr>
              <w:t>Local</w:t>
            </w:r>
            <w:r w:rsidRPr="00CF79F0">
              <w:rPr>
                <w:rFonts w:ascii="Gill Sans MT" w:hAnsi="Gill Sans MT"/>
                <w:sz w:val="20"/>
                <w:szCs w:val="20"/>
              </w:rPr>
              <w:t xml:space="preserve">: </w:t>
            </w:r>
            <w:r w:rsidR="007D288C">
              <w:rPr>
                <w:rFonts w:ascii="Gill Sans MT" w:hAnsi="Gill Sans MT"/>
                <w:sz w:val="20"/>
                <w:szCs w:val="20"/>
              </w:rPr>
              <w:t>Gotemburgo, Suécia</w:t>
            </w:r>
          </w:p>
        </w:tc>
      </w:tr>
      <w:tr w:rsidR="00DC100B" w:rsidRPr="00832267" w:rsidTr="00A37356">
        <w:trPr>
          <w:trHeight w:val="540"/>
        </w:trPr>
        <w:tc>
          <w:tcPr>
            <w:tcW w:w="10598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100B" w:rsidRPr="00832267" w:rsidRDefault="00DC100B" w:rsidP="00ED5A72">
            <w:pPr>
              <w:spacing w:before="20" w:after="20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 w:rsidRPr="00832267">
              <w:rPr>
                <w:rFonts w:ascii="Gill Sans MT" w:hAnsi="Gill Sans MT"/>
                <w:b/>
                <w:sz w:val="20"/>
                <w:szCs w:val="20"/>
              </w:rPr>
              <w:t>Participante(s</w:t>
            </w:r>
            <w:proofErr w:type="gramEnd"/>
            <w:r w:rsidRPr="00832267">
              <w:rPr>
                <w:rFonts w:ascii="Gill Sans MT" w:hAnsi="Gill Sans MT"/>
                <w:b/>
                <w:sz w:val="20"/>
                <w:szCs w:val="20"/>
              </w:rPr>
              <w:t>) da AEP/NEP:</w:t>
            </w:r>
            <w:r w:rsidRPr="007D288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7D288C" w:rsidRPr="007D288C">
              <w:rPr>
                <w:rFonts w:ascii="Gill Sans MT" w:hAnsi="Gill Sans MT"/>
                <w:sz w:val="20"/>
                <w:szCs w:val="20"/>
              </w:rPr>
              <w:t>Marta Pile</w:t>
            </w:r>
          </w:p>
        </w:tc>
      </w:tr>
      <w:tr w:rsidR="00DC100B" w:rsidRPr="00832267" w:rsidTr="00A37356">
        <w:trPr>
          <w:trHeight w:val="605"/>
        </w:trPr>
        <w:tc>
          <w:tcPr>
            <w:tcW w:w="10598" w:type="dxa"/>
            <w:gridSpan w:val="2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DC100B" w:rsidRDefault="00DC100B" w:rsidP="00ED5A72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Programa</w:t>
            </w:r>
            <w:r w:rsidRPr="00832267">
              <w:rPr>
                <w:rFonts w:ascii="Gill Sans MT" w:hAnsi="Gill Sans MT"/>
                <w:b/>
                <w:sz w:val="20"/>
                <w:szCs w:val="20"/>
              </w:rPr>
              <w:t>: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AE47E2" w:rsidRDefault="00737388" w:rsidP="00ED5A72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7pt;height:49.55pt" o:ole="">
                  <v:imagedata r:id="rId6" o:title=""/>
                </v:shape>
                <o:OLEObject Type="Embed" ProgID="AcroExch.Document.11" ShapeID="_x0000_i1029" DrawAspect="Icon" ObjectID="_1450189959" r:id="rId7"/>
              </w:object>
            </w:r>
            <w:bookmarkStart w:id="0" w:name="_GoBack"/>
            <w:bookmarkEnd w:id="0"/>
          </w:p>
          <w:p w:rsidR="00DC100B" w:rsidRDefault="00DC100B" w:rsidP="00ED5A72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Endereço web do evento:</w:t>
            </w:r>
            <w:r w:rsidR="00AE47E2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hyperlink r:id="rId8" w:history="1">
              <w:r w:rsidR="00AE47E2" w:rsidRPr="00AC50B4">
                <w:rPr>
                  <w:rStyle w:val="Hiperligao"/>
                  <w:rFonts w:ascii="Gill Sans MT" w:hAnsi="Gill Sans MT"/>
                  <w:b/>
                  <w:sz w:val="20"/>
                  <w:szCs w:val="20"/>
                </w:rPr>
                <w:t>http://www.eua.be/EQAF-Gothenburg.aspx</w:t>
              </w:r>
            </w:hyperlink>
            <w:r w:rsidR="00AE47E2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DC100B" w:rsidRPr="00CF79F0" w:rsidRDefault="00406290" w:rsidP="00ED5A7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</w:t>
            </w:r>
            <w:r w:rsidRPr="00406290">
              <w:rPr>
                <w:rFonts w:ascii="Gill Sans MT" w:hAnsi="Gill Sans MT"/>
                <w:b/>
                <w:sz w:val="20"/>
                <w:szCs w:val="20"/>
              </w:rPr>
              <w:t xml:space="preserve">omunicações: </w:t>
            </w:r>
            <w:hyperlink r:id="rId9" w:history="1">
              <w:r w:rsidRPr="00AC50B4">
                <w:rPr>
                  <w:rStyle w:val="Hiperligao"/>
                  <w:rFonts w:ascii="Gill Sans MT" w:hAnsi="Gill Sans MT"/>
                  <w:b/>
                  <w:sz w:val="20"/>
                  <w:szCs w:val="20"/>
                </w:rPr>
                <w:t>http://www.eua.be/events/past/2013/EQAF_2013/Presentations.aspx</w:t>
              </w:r>
            </w:hyperlink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DC100B" w:rsidRPr="00832267" w:rsidRDefault="00DC100B" w:rsidP="00ED5A72">
            <w:pPr>
              <w:autoSpaceDE w:val="0"/>
              <w:autoSpaceDN w:val="0"/>
              <w:adjustRightInd w:val="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C100B" w:rsidRPr="00A37356" w:rsidTr="00A37356">
        <w:trPr>
          <w:trHeight w:val="706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7D288C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O Fórum Europeu para a Garantia da Qualidade (EQAF) é uma iniciativa da ENQA, ESU, EUA e EURASHE e este ano teve como temática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Working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together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to take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quality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forward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. O EQAF assume-se enquanto reunião de pares, em que elementos de várias Instituições de Ensino Superior (IES) europeus (e não só) discutem problemas e soluções comuns. O debate posterior à apresentação das comunicações é interessante, sendo que é promovida a exposição de boas-práticas entre os presentes.</w:t>
            </w:r>
          </w:p>
          <w:p w:rsidR="00AE47E2" w:rsidRPr="00A37356" w:rsidRDefault="00AE47E2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7D288C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Foi apresentada uma comunicação neste Fórum intitulada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Quality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culture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embracing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the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academic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community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in a “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creativity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agenda” da autoria de quatro colaboradoras da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ULisboa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: Valentina Oliveira (Reitoria), Ana Nunes de Almeida (ICS), Ana Pinheiro (Reitoria) e ainda Marta Pile (IST). </w:t>
            </w:r>
          </w:p>
          <w:p w:rsidR="00AE47E2" w:rsidRPr="00A37356" w:rsidRDefault="00AE47E2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7D288C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De destacar a participação de importantes representantes de IES portuguesas, para além das duas autoras da referida comunicação (Valentina Oliveira e Marta Pile):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Alberto Amaral, Sérgio Machado dos Santos e Sónia Cardoso (A3ES);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Graciete Dias e Isabel M. Santos (Universidade do Minho);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José Sarsfield Cabral (Universidade do Porto);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Cláudia Sarrico (ISEG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ULisboa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);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Bruno Carapinha (Reitoria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ULisboa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).</w:t>
            </w:r>
          </w:p>
          <w:p w:rsidR="00AE47E2" w:rsidRPr="00A37356" w:rsidRDefault="00AE47E2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7D288C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De entre as várias palestras </w:t>
            </w:r>
            <w:r w:rsidR="00AE47E2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realçam-se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os seguintes pontos:</w:t>
            </w:r>
          </w:p>
          <w:p w:rsidR="007D288C" w:rsidRPr="00A37356" w:rsidRDefault="007D288C" w:rsidP="00AE47E2">
            <w:pPr>
              <w:numPr>
                <w:ilvl w:val="0"/>
                <w:numId w:val="12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No geral, grande foco no conceito de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engag</w:t>
            </w:r>
            <w:r w:rsidR="00AE47E2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ment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e de reforço da ligação de todos os atores da Academia à Qualidade (Q) no Ensino Superior (ES). É transversal o arranque da Q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nas IES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europeias. Assim, é importante envolver, discutir e motivar para um ensino superior/investigação de Q.</w:t>
            </w:r>
            <w:r w:rsidR="0060338E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</w:p>
          <w:p w:rsidR="0060338E" w:rsidRPr="00A37356" w:rsidRDefault="0060338E" w:rsidP="0060338E">
            <w:pPr>
              <w:numPr>
                <w:ilvl w:val="0"/>
                <w:numId w:val="12"/>
              </w:numPr>
              <w:spacing w:before="20" w:after="20"/>
              <w:ind w:left="142" w:hanging="138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Estamos demasiado ocupados com o preenchimento de inquéritos e é preciso passar à ação. E os empregadores têm uma palavra a dizer sobre as suas necessidades: o que falta aos graduados.</w:t>
            </w:r>
          </w:p>
          <w:p w:rsidR="00A37356" w:rsidRDefault="00A37356" w:rsidP="0060338E">
            <w:pPr>
              <w:numPr>
                <w:ilvl w:val="0"/>
                <w:numId w:val="12"/>
              </w:numPr>
              <w:spacing w:before="20" w:after="20"/>
              <w:ind w:left="142" w:hanging="138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Envolver mais os académicos nos processos de avaliação. Desenvolver mais as capacidades de liderança dos dirigentes: competências de gestão e liderança são precisas.</w:t>
            </w:r>
          </w:p>
          <w:p w:rsidR="00A37356" w:rsidRPr="00A37356" w:rsidRDefault="00A37356" w:rsidP="0060338E">
            <w:pPr>
              <w:numPr>
                <w:ilvl w:val="0"/>
                <w:numId w:val="12"/>
              </w:numPr>
              <w:spacing w:before="20" w:after="20"/>
              <w:ind w:left="142" w:hanging="138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406290" w:rsidRPr="00A37356" w:rsidRDefault="007D288C" w:rsidP="00406290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 xml:space="preserve">Sobre 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engag</w:t>
            </w:r>
            <w:r w:rsidR="00AE47E2"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e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ment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 xml:space="preserve"> dos estudantes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:</w:t>
            </w:r>
            <w:r w:rsidR="00AE47E2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</w:p>
          <w:p w:rsidR="00AE47E2" w:rsidRPr="00A37356" w:rsidRDefault="00406290" w:rsidP="00AE47E2">
            <w:pPr>
              <w:numPr>
                <w:ilvl w:val="0"/>
                <w:numId w:val="12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</w:t>
            </w:r>
            <w:r w:rsidR="00AE47E2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i</w:t>
            </w:r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mportância de inquirir os estudantes sobre a Q do ensino e não apenas sobre os processos (Ainda assim, será que os estudantes estão a par da situação de avaliação/acreditação da sua IES?) Bons exemplos de perguntas: qual a Unidade Curricular (UC) que mais mudou a tua maneira de pensar este semestre? Qual a UC que mais te motivou para a aprendizagem? Qual o professor com mais capacidade de transmitir conhecimento? (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Working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together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in QA –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stakeholders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’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views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and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expectations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Bjorn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Stensaker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, EUA)</w:t>
            </w:r>
          </w:p>
          <w:p w:rsidR="0060338E" w:rsidRPr="00A37356" w:rsidRDefault="0060338E" w:rsidP="0060338E">
            <w:pPr>
              <w:numPr>
                <w:ilvl w:val="0"/>
                <w:numId w:val="12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Os estudantes querem cada vez mais ser envolvidos nos processos de qualidade, mas não só para responder a inquéritos. Devem ser envolvidos desde o início - preparação do processo.</w:t>
            </w:r>
            <w:r w:rsidRPr="00A37356">
              <w:t xml:space="preserve">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Os estudantes, se estiverem organizados, treinados para as questões da qualidade, podem ser ainda mais valiosos nos processos de qualidade.</w:t>
            </w:r>
          </w:p>
          <w:p w:rsidR="00AE47E2" w:rsidRPr="00A37356" w:rsidRDefault="007D288C" w:rsidP="007D288C">
            <w:pPr>
              <w:numPr>
                <w:ilvl w:val="0"/>
                <w:numId w:val="13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Cabe à Universidade providenciar meios e ferramentas de promoção da Q junto dos estudantes. 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UMaastricht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criou condições para que os estudantes organizassem uma formação sobre liderança/comportamento cívico e Q no ES. O objetivo era o de capacitá-los a trabalhar em prol da Q. A formação de pares criou um maior envolvimento por parte dos estudantes.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(Fostering QA partnerships between staff and students: leadership skills in student representatives. Maastricht University)</w:t>
            </w:r>
          </w:p>
          <w:p w:rsidR="00385D44" w:rsidRPr="00A37356" w:rsidRDefault="007D288C" w:rsidP="007D288C">
            <w:pPr>
              <w:numPr>
                <w:ilvl w:val="0"/>
                <w:numId w:val="13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A Associação de Estudantes da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UEdimburgo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ouviu os Estudantes com Necessidades Educativas Especiais e foram implementadas medidas transversais a toda a universidade, das quais todos beneficiaram, e que contribuíram para a Q. Exemplo: microfones em todas as salas; gravação áudio das aulas; listagem da bibliografia disponibilizada com 1 mês de antecedência e priorizada por ordem de leitura; totalidade do material da aula (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powerpoints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, etc.) disponibilizado com um mínimo de 24h; no caso de uma aula ser cancelada os estudantes têm conhecimento no mínimo 1h antes do início agendado da aula.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(Conceptualizing student engagement: a co-creation perspective. University of Edinburgh) </w:t>
            </w:r>
          </w:p>
          <w:p w:rsidR="007D288C" w:rsidRPr="00A37356" w:rsidRDefault="007D288C" w:rsidP="007D288C">
            <w:pPr>
              <w:numPr>
                <w:ilvl w:val="0"/>
                <w:numId w:val="13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Understand Q &gt; Empower to Q &gt; Take ownership of their own learning environment &gt; High engagement in Q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; 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Importância</w:t>
            </w:r>
            <w:proofErr w:type="spellEnd"/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 do feedback do feedback no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envolvimento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 dos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estudantes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Envolver estudantes é muito mais do que pedir-lhes para avaliar uma UC. Implementação de uma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Inovative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learning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week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(idem)</w:t>
            </w:r>
          </w:p>
          <w:p w:rsidR="00406290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lastRenderedPageBreak/>
              <w:t xml:space="preserve">Sobre 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engag</w:t>
            </w:r>
            <w:r w:rsidR="00406290"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e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ment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 xml:space="preserve"> dos técnicos e pessoal não docente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:</w:t>
            </w:r>
            <w:r w:rsidR="00385D44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</w:p>
          <w:p w:rsidR="007D288C" w:rsidRPr="00A37356" w:rsidRDefault="00385D44" w:rsidP="00406290">
            <w:pPr>
              <w:numPr>
                <w:ilvl w:val="0"/>
                <w:numId w:val="14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f</w:t>
            </w:r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ormação</w:t>
            </w:r>
            <w:proofErr w:type="gram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de “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coacher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in Q" em todas as unidades (tesouraria, RH, académicos, etc.). Foi estruturada uma ação de formação para um grupo de voluntários para serem disseminadores de boas práticas. Foram agendadas 4 reuniões anuais com todos os "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coacher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" não apenas para formação mas um ponto de encontro e de partilha de boas práticas - um fórum de ideias. Resultados: maior disseminação de práticas de Q, maior implicação, coesão e sentimento de propósito – estão todos a trabalhar para o mesmo fim: a Q do trabalho dos docentes, investigadores, PND e a criação de melhores condições de aprendizagem e investigação. </w:t>
            </w:r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(The </w:t>
            </w:r>
            <w:proofErr w:type="spellStart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potencial</w:t>
            </w:r>
            <w:proofErr w:type="spellEnd"/>
            <w:r w:rsidR="007D288C"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 impact of the internal service units on the quality culture in a HEI, and how to make optimal use of it. Limburg Catholic University College)</w:t>
            </w:r>
          </w:p>
          <w:p w:rsidR="00A37356" w:rsidRPr="00A37356" w:rsidRDefault="00A37356" w:rsidP="00406290">
            <w:pPr>
              <w:numPr>
                <w:ilvl w:val="0"/>
                <w:numId w:val="14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7D288C" w:rsidRPr="00A37356" w:rsidRDefault="007D288C" w:rsidP="00406290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 xml:space="preserve">Sobre Q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Assurance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 xml:space="preserve"> e Q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Enhancement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:</w:t>
            </w:r>
          </w:p>
          <w:p w:rsidR="0060338E" w:rsidRPr="00A37356" w:rsidRDefault="0060338E" w:rsidP="0060338E">
            <w:pPr>
              <w:numPr>
                <w:ilvl w:val="0"/>
                <w:numId w:val="14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A responsabilidade da qualidade está nas instituições mas em primeiro lugar nos governos que a têm que garantir. Governos tratam todos por igual: boas escolas e escolas com maus desempenhos, pelo que seria necessário que assim não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fosse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para não se duplicarem esforços.</w:t>
            </w:r>
          </w:p>
          <w:p w:rsidR="007D288C" w:rsidRPr="00A37356" w:rsidRDefault="007D288C" w:rsidP="0060338E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Importância de mapear os procedimentos académicos associados aos Doutoramentos: quais as regras de inscrição, como são definidos os júris, como se procede para a resolução de conflitos entre candidatos e orientadores, como são formadas as comissões de avaliação, etc. </w:t>
            </w:r>
          </w:p>
          <w:p w:rsidR="0060338E" w:rsidRPr="00A37356" w:rsidRDefault="0060338E" w:rsidP="0060338E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Os processos de qualidade acabam todos por cair na rotina e é preciso fazer algo diferente de vez em quando para que tal não aconteça: auditorias,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excelence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recognition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focus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groups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, ...</w:t>
            </w:r>
            <w:proofErr w:type="gramEnd"/>
            <w:r w:rsidRPr="00A37356">
              <w:t xml:space="preserve">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Inovar, criar, são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palavras chave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na educação.</w:t>
            </w:r>
          </w:p>
          <w:p w:rsidR="007D288C" w:rsidRPr="00A37356" w:rsidRDefault="007D288C" w:rsidP="00406290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</w:pP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Projeto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 da EUA - Accountable Research Environments for Doctoral Education ARDE. </w:t>
            </w:r>
          </w:p>
          <w:p w:rsidR="007D288C" w:rsidRPr="00A37356" w:rsidRDefault="007D288C" w:rsidP="00406290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Alteração do conceito de estudante de doutoramento para "candidato a doutoramento" uma vez que produzem investigação.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(Quality, transparency and enhancement in doctoral education. Thomas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Jørgensen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>, EUA)</w:t>
            </w:r>
          </w:p>
          <w:p w:rsidR="007D288C" w:rsidRPr="00A37356" w:rsidRDefault="007D288C" w:rsidP="00406290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Modelo multidimensional de avaliação e “manipulação” da cultura de Q numa IES. A partir dos valores partilhados (tradição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vs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inovação, autonomia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vs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sistematização, especialização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vs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orientação para o coletivo) e das condições para a prática da Q (clima, compromisso e carga de trabalho) medir o impacto na eficiência das práticas de gestão de Q e, em última análise, na Q da educação.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(Toward a multi-perspective model of Q culture in HEI?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Maastricht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University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)</w:t>
            </w:r>
          </w:p>
          <w:p w:rsidR="00406290" w:rsidRPr="00A37356" w:rsidRDefault="007D288C" w:rsidP="00406290">
            <w:pPr>
              <w:numPr>
                <w:ilvl w:val="0"/>
                <w:numId w:val="15"/>
              </w:numPr>
              <w:spacing w:before="20" w:after="20"/>
              <w:ind w:left="142" w:hanging="142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Disseminação dos resultados do projeto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Promoting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Quality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Culture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(workshop #1 promovido na Universidade de Lisboa). Principais resultados: </w:t>
            </w:r>
          </w:p>
          <w:p w:rsidR="00406290" w:rsidRPr="00A37356" w:rsidRDefault="007D288C" w:rsidP="00406290">
            <w:pPr>
              <w:spacing w:before="20" w:after="20"/>
              <w:ind w:left="108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a)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importância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de fomentar e criar espaço/condições para que uma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framework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de Q surja a </w:t>
            </w:r>
            <w:r w:rsidR="00406290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partir das práticas, </w:t>
            </w:r>
            <w:proofErr w:type="spellStart"/>
            <w:r w:rsidR="00406290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bottom-up</w:t>
            </w:r>
            <w:proofErr w:type="spellEnd"/>
            <w:r w:rsidR="00406290"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;</w:t>
            </w:r>
          </w:p>
          <w:p w:rsidR="00406290" w:rsidRPr="00A37356" w:rsidRDefault="007D288C" w:rsidP="00406290">
            <w:pPr>
              <w:spacing w:before="20" w:after="20"/>
              <w:ind w:left="108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b)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dar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um propósito e uma finalidade às práticas de qualidade – existência de consequências e melhorias efetivas para dar sentido às práticas; </w:t>
            </w:r>
          </w:p>
          <w:p w:rsidR="007D288C" w:rsidRPr="00A37356" w:rsidRDefault="007D288C" w:rsidP="00406290">
            <w:pPr>
              <w:spacing w:before="20" w:after="20"/>
              <w:ind w:left="108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c)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comunicação é um elemento chave numa IES - importância de os “profissionais” de Q serem, para além de experts na matéria,  tradutores das normas de Q para a restante comunidade académica.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lang w:val="en-US"/>
              </w:rPr>
              <w:t xml:space="preserve">(Dealing with engagement issues – an examination of professionals’ opinions on stakeholder involvement in quality assurance. 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Oliver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Vettori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e Tia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Loukkola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, EUA)</w:t>
            </w:r>
          </w:p>
          <w:p w:rsidR="0060338E" w:rsidRPr="00A37356" w:rsidRDefault="0060338E" w:rsidP="00406290">
            <w:pPr>
              <w:spacing w:before="20" w:after="20"/>
              <w:ind w:left="108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60338E" w:rsidRPr="00A37356" w:rsidRDefault="0060338E" w:rsidP="0060338E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Principais desafios europeus:</w:t>
            </w:r>
          </w:p>
          <w:p w:rsidR="0060338E" w:rsidRPr="00A37356" w:rsidRDefault="0060338E" w:rsidP="0060338E">
            <w:pPr>
              <w:numPr>
                <w:ilvl w:val="0"/>
                <w:numId w:val="16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Ultrapassar a crise financeira</w:t>
            </w:r>
          </w:p>
          <w:p w:rsidR="0060338E" w:rsidRPr="00A37356" w:rsidRDefault="0060338E" w:rsidP="0060338E">
            <w:pPr>
              <w:numPr>
                <w:ilvl w:val="0"/>
                <w:numId w:val="16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Lutar contra o desemprego</w:t>
            </w:r>
          </w:p>
          <w:p w:rsidR="0060338E" w:rsidRPr="00A37356" w:rsidRDefault="0060338E" w:rsidP="0060338E">
            <w:pPr>
              <w:numPr>
                <w:ilvl w:val="0"/>
                <w:numId w:val="16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Investir mais na educação do que se tem feito até agora</w:t>
            </w:r>
          </w:p>
          <w:p w:rsidR="00A37356" w:rsidRPr="00A37356" w:rsidRDefault="00A37356" w:rsidP="00A37356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A37356" w:rsidRPr="00A37356" w:rsidRDefault="00A37356" w:rsidP="00A37356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Cultura de qualidade como estimular?</w:t>
            </w:r>
          </w:p>
          <w:p w:rsidR="00A37356" w:rsidRPr="00A37356" w:rsidRDefault="00A37356" w:rsidP="00A37356">
            <w:pPr>
              <w:numPr>
                <w:ilvl w:val="0"/>
                <w:numId w:val="20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“Sharp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and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provocative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”.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ir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para além dos números. Para lá da </w:t>
            </w:r>
            <w:proofErr w:type="spellStart"/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accountability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</w:t>
            </w:r>
          </w:p>
          <w:p w:rsidR="00A37356" w:rsidRPr="00A37356" w:rsidRDefault="00A37356" w:rsidP="00A37356">
            <w:pPr>
              <w:numPr>
                <w:ilvl w:val="0"/>
                <w:numId w:val="20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Mudar a perspetiva: deixar de lado a perspetiva da avaliação externa e preocupar se mais com a interna. </w:t>
            </w:r>
          </w:p>
          <w:p w:rsidR="00A37356" w:rsidRDefault="00A37356" w:rsidP="00A37356">
            <w:pPr>
              <w:numPr>
                <w:ilvl w:val="0"/>
                <w:numId w:val="20"/>
              </w:num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Envolver todos </w:t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no processos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de qualidade (docentes, alunos, managers, empregadores e graduados).</w:t>
            </w:r>
          </w:p>
          <w:p w:rsidR="00A37356" w:rsidRPr="00A37356" w:rsidRDefault="00A37356" w:rsidP="00A37356">
            <w:pPr>
              <w:spacing w:before="20" w:after="20"/>
              <w:ind w:left="7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A37356" w:rsidRPr="00A37356" w:rsidRDefault="00A37356" w:rsidP="00A37356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  <w:u w:val="single"/>
              </w:rPr>
              <w:t>Novas realidades a ter em conta na AQ: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Elearning</w:t>
            </w:r>
            <w:proofErr w:type="spellEnd"/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Moocs</w:t>
            </w:r>
            <w:proofErr w:type="spellEnd"/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  <w:t xml:space="preserve">Referencia aos L. </w:t>
            </w:r>
            <w:proofErr w:type="spell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outcomes</w:t>
            </w:r>
            <w:proofErr w:type="spell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alcançados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  <w:t>Cobertura da I&amp;D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  <w:t>Independência das agências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  <w:t>Minorias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processos</w:t>
            </w:r>
            <w:proofErr w:type="gramEnd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 de admissão</w:t>
            </w:r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abandonos</w:t>
            </w:r>
            <w:proofErr w:type="gramEnd"/>
          </w:p>
          <w:p w:rsidR="00A37356" w:rsidRPr="00A37356" w:rsidRDefault="00A37356" w:rsidP="00A37356">
            <w:pPr>
              <w:tabs>
                <w:tab w:val="left" w:pos="284"/>
              </w:tabs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•</w:t>
            </w: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ab/>
            </w:r>
            <w:proofErr w:type="gramStart"/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>empregabilidade</w:t>
            </w:r>
            <w:proofErr w:type="gramEnd"/>
          </w:p>
          <w:p w:rsidR="00406290" w:rsidRPr="00A37356" w:rsidRDefault="00406290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</w:p>
          <w:p w:rsidR="007D288C" w:rsidRPr="00A37356" w:rsidRDefault="007D288C" w:rsidP="007D288C">
            <w:pPr>
              <w:spacing w:before="20" w:after="20"/>
              <w:rPr>
                <w:rFonts w:ascii="TTE2DB3EB0t00" w:hAnsi="TTE2DB3EB0t00" w:cs="TTE2DB3EB0t00"/>
                <w:color w:val="000000"/>
                <w:sz w:val="18"/>
                <w:szCs w:val="18"/>
              </w:rPr>
            </w:pPr>
            <w:r w:rsidRPr="00A37356">
              <w:rPr>
                <w:rFonts w:ascii="TTE2DB3EB0t00" w:hAnsi="TTE2DB3EB0t00" w:cs="TTE2DB3EB0t00"/>
                <w:color w:val="000000"/>
                <w:sz w:val="18"/>
                <w:szCs w:val="18"/>
              </w:rPr>
              <w:t xml:space="preserve">Foi anunciado que o EQAF 2014 será organizado pela Universidade de Barcelona; Em 2015 o evento celebra 10 anos de existência e irá decorrer em Londres. </w:t>
            </w:r>
          </w:p>
          <w:p w:rsidR="00DC100B" w:rsidRPr="00A37356" w:rsidRDefault="00A37356" w:rsidP="00A37356">
            <w:pPr>
              <w:spacing w:before="20" w:after="20"/>
              <w:jc w:val="right"/>
              <w:rPr>
                <w:rFonts w:ascii="TTE2DB3EB0t00" w:hAnsi="TTE2DB3EB0t00" w:cs="TTE2DB3EB0t00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TE2DB3EB0t00" w:hAnsi="TTE2DB3EB0t00" w:cs="TTE2DB3EB0t00"/>
                <w:i/>
                <w:color w:val="000000"/>
                <w:sz w:val="18"/>
                <w:szCs w:val="18"/>
                <w:lang w:val="en-US"/>
              </w:rPr>
              <w:t>Frase</w:t>
            </w:r>
            <w:proofErr w:type="spellEnd"/>
            <w:r>
              <w:rPr>
                <w:rFonts w:ascii="TTE2DB3EB0t00" w:hAnsi="TTE2DB3EB0t00" w:cs="TTE2DB3EB0t00"/>
                <w:i/>
                <w:color w:val="000000"/>
                <w:sz w:val="18"/>
                <w:szCs w:val="18"/>
                <w:lang w:val="en-US"/>
              </w:rPr>
              <w:t>: “</w:t>
            </w:r>
            <w:r w:rsidR="007D288C" w:rsidRPr="00A37356">
              <w:rPr>
                <w:rFonts w:ascii="TTE2DB3EB0t00" w:hAnsi="TTE2DB3EB0t00" w:cs="TTE2DB3EB0t00"/>
                <w:i/>
                <w:color w:val="000000"/>
                <w:sz w:val="18"/>
                <w:szCs w:val="18"/>
                <w:lang w:val="en-US"/>
              </w:rPr>
              <w:t>There is no brain gain without brain drain...</w:t>
            </w:r>
            <w:r>
              <w:rPr>
                <w:rFonts w:ascii="TTE2DB3EB0t00" w:hAnsi="TTE2DB3EB0t00" w:cs="TTE2DB3EB0t00"/>
                <w:i/>
                <w:color w:val="000000"/>
                <w:sz w:val="18"/>
                <w:szCs w:val="18"/>
                <w:lang w:val="en-US"/>
              </w:rPr>
              <w:t>”</w:t>
            </w:r>
          </w:p>
        </w:tc>
      </w:tr>
    </w:tbl>
    <w:p w:rsidR="006D24B0" w:rsidRPr="00A37356" w:rsidRDefault="006D24B0" w:rsidP="00DC100B">
      <w:pPr>
        <w:rPr>
          <w:lang w:val="en-US"/>
        </w:rPr>
      </w:pPr>
    </w:p>
    <w:sectPr w:rsidR="006D24B0" w:rsidRPr="00A37356" w:rsidSect="00A37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TE2DB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B21"/>
    <w:multiLevelType w:val="hybridMultilevel"/>
    <w:tmpl w:val="54269564"/>
    <w:lvl w:ilvl="0" w:tplc="EDD6E6D6">
      <w:numFmt w:val="bullet"/>
      <w:lvlText w:val="•"/>
      <w:lvlJc w:val="left"/>
      <w:pPr>
        <w:ind w:left="72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4609"/>
    <w:multiLevelType w:val="hybridMultilevel"/>
    <w:tmpl w:val="1B48D9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6D16"/>
    <w:multiLevelType w:val="hybridMultilevel"/>
    <w:tmpl w:val="5BE6D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2849"/>
    <w:multiLevelType w:val="hybridMultilevel"/>
    <w:tmpl w:val="56C2BDF0"/>
    <w:lvl w:ilvl="0" w:tplc="EDD6E6D6">
      <w:numFmt w:val="bullet"/>
      <w:lvlText w:val="•"/>
      <w:lvlJc w:val="left"/>
      <w:pPr>
        <w:ind w:left="72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29C5"/>
    <w:multiLevelType w:val="hybridMultilevel"/>
    <w:tmpl w:val="63F2BB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E68BF"/>
    <w:multiLevelType w:val="hybridMultilevel"/>
    <w:tmpl w:val="B46C3D2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33EDB"/>
    <w:multiLevelType w:val="hybridMultilevel"/>
    <w:tmpl w:val="31AE3A32"/>
    <w:lvl w:ilvl="0" w:tplc="EDD6E6D6">
      <w:numFmt w:val="bullet"/>
      <w:lvlText w:val="•"/>
      <w:lvlJc w:val="left"/>
      <w:pPr>
        <w:ind w:left="360" w:hanging="360"/>
      </w:pPr>
      <w:rPr>
        <w:rFonts w:ascii="TTE2DB3EB0t00" w:eastAsia="Times New Roman" w:hAnsi="TTE2DB3EB0t00" w:cs="TTE2DB3EB0t00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1E0405"/>
    <w:multiLevelType w:val="hybridMultilevel"/>
    <w:tmpl w:val="E9B41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36BF0"/>
    <w:multiLevelType w:val="hybridMultilevel"/>
    <w:tmpl w:val="41F0F1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837B4"/>
    <w:multiLevelType w:val="hybridMultilevel"/>
    <w:tmpl w:val="5E1A61CE"/>
    <w:lvl w:ilvl="0" w:tplc="EDD6E6D6">
      <w:numFmt w:val="bullet"/>
      <w:lvlText w:val="•"/>
      <w:lvlJc w:val="left"/>
      <w:pPr>
        <w:ind w:left="72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B33B7"/>
    <w:multiLevelType w:val="hybridMultilevel"/>
    <w:tmpl w:val="65B06DCA"/>
    <w:lvl w:ilvl="0" w:tplc="EDD6E6D6">
      <w:numFmt w:val="bullet"/>
      <w:lvlText w:val="•"/>
      <w:lvlJc w:val="left"/>
      <w:pPr>
        <w:ind w:left="72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C496D"/>
    <w:multiLevelType w:val="hybridMultilevel"/>
    <w:tmpl w:val="526EAD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83944"/>
    <w:multiLevelType w:val="hybridMultilevel"/>
    <w:tmpl w:val="2FDA0772"/>
    <w:lvl w:ilvl="0" w:tplc="EDD6E6D6">
      <w:numFmt w:val="bullet"/>
      <w:lvlText w:val="•"/>
      <w:lvlJc w:val="left"/>
      <w:pPr>
        <w:ind w:left="36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703FB"/>
    <w:multiLevelType w:val="hybridMultilevel"/>
    <w:tmpl w:val="BBD448E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261293"/>
    <w:multiLevelType w:val="hybridMultilevel"/>
    <w:tmpl w:val="52BED99C"/>
    <w:lvl w:ilvl="0" w:tplc="EDD6E6D6">
      <w:numFmt w:val="bullet"/>
      <w:lvlText w:val="•"/>
      <w:lvlJc w:val="left"/>
      <w:pPr>
        <w:ind w:left="1065" w:hanging="705"/>
      </w:pPr>
      <w:rPr>
        <w:rFonts w:ascii="TTE2DB3EB0t00" w:eastAsia="Times New Roman" w:hAnsi="TTE2DB3EB0t00" w:cs="TTE2DB3EB0t00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07AE5"/>
    <w:multiLevelType w:val="hybridMultilevel"/>
    <w:tmpl w:val="FD50B1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91D4A"/>
    <w:multiLevelType w:val="hybridMultilevel"/>
    <w:tmpl w:val="299A82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8D5A83"/>
    <w:multiLevelType w:val="hybridMultilevel"/>
    <w:tmpl w:val="2A869EFC"/>
    <w:lvl w:ilvl="0" w:tplc="EDD6E6D6">
      <w:numFmt w:val="bullet"/>
      <w:lvlText w:val="•"/>
      <w:lvlJc w:val="left"/>
      <w:pPr>
        <w:ind w:left="1065" w:hanging="705"/>
      </w:pPr>
      <w:rPr>
        <w:rFonts w:ascii="TTE2DB3EB0t00" w:eastAsia="Times New Roman" w:hAnsi="TTE2DB3EB0t00" w:cs="TTE2DB3EB0t00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D5688"/>
    <w:multiLevelType w:val="hybridMultilevel"/>
    <w:tmpl w:val="7500E3D8"/>
    <w:lvl w:ilvl="0" w:tplc="EDD6E6D6">
      <w:numFmt w:val="bullet"/>
      <w:lvlText w:val="•"/>
      <w:lvlJc w:val="left"/>
      <w:pPr>
        <w:ind w:left="720" w:hanging="360"/>
      </w:pPr>
      <w:rPr>
        <w:rFonts w:ascii="TTE2DB3EB0t00" w:eastAsia="Times New Roman" w:hAnsi="TTE2DB3EB0t00" w:cs="TTE2DB3EB0t00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1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0"/>
  </w:num>
  <w:num w:numId="17">
    <w:abstractNumId w:val="9"/>
  </w:num>
  <w:num w:numId="18">
    <w:abstractNumId w:val="1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6F"/>
    <w:rsid w:val="000444C2"/>
    <w:rsid w:val="000559C8"/>
    <w:rsid w:val="00075E89"/>
    <w:rsid w:val="000C3E31"/>
    <w:rsid w:val="000D0843"/>
    <w:rsid w:val="000F6483"/>
    <w:rsid w:val="00146362"/>
    <w:rsid w:val="0016363B"/>
    <w:rsid w:val="00204087"/>
    <w:rsid w:val="0027463C"/>
    <w:rsid w:val="00293FE0"/>
    <w:rsid w:val="002B6B46"/>
    <w:rsid w:val="00301CA8"/>
    <w:rsid w:val="003151BE"/>
    <w:rsid w:val="00351AF7"/>
    <w:rsid w:val="0035450A"/>
    <w:rsid w:val="00385D44"/>
    <w:rsid w:val="00391615"/>
    <w:rsid w:val="00394850"/>
    <w:rsid w:val="003A3D36"/>
    <w:rsid w:val="003B5CF2"/>
    <w:rsid w:val="003D1CE1"/>
    <w:rsid w:val="003D2995"/>
    <w:rsid w:val="003E0232"/>
    <w:rsid w:val="003F7D99"/>
    <w:rsid w:val="00406290"/>
    <w:rsid w:val="00423BFD"/>
    <w:rsid w:val="004C4761"/>
    <w:rsid w:val="0056690E"/>
    <w:rsid w:val="00582247"/>
    <w:rsid w:val="00582567"/>
    <w:rsid w:val="005B0665"/>
    <w:rsid w:val="0060338E"/>
    <w:rsid w:val="00615098"/>
    <w:rsid w:val="006301C0"/>
    <w:rsid w:val="006A5FDF"/>
    <w:rsid w:val="006C422D"/>
    <w:rsid w:val="006D24B0"/>
    <w:rsid w:val="0072003E"/>
    <w:rsid w:val="00737388"/>
    <w:rsid w:val="00776D8E"/>
    <w:rsid w:val="0079246E"/>
    <w:rsid w:val="007D0210"/>
    <w:rsid w:val="007D288C"/>
    <w:rsid w:val="00832267"/>
    <w:rsid w:val="00844DC3"/>
    <w:rsid w:val="008A3F82"/>
    <w:rsid w:val="00901AFE"/>
    <w:rsid w:val="0092322E"/>
    <w:rsid w:val="009853E0"/>
    <w:rsid w:val="00A06EFB"/>
    <w:rsid w:val="00A37356"/>
    <w:rsid w:val="00A553E2"/>
    <w:rsid w:val="00A707A9"/>
    <w:rsid w:val="00A70903"/>
    <w:rsid w:val="00AE47E2"/>
    <w:rsid w:val="00B01103"/>
    <w:rsid w:val="00BD1D45"/>
    <w:rsid w:val="00BD2045"/>
    <w:rsid w:val="00BE1E7A"/>
    <w:rsid w:val="00BF3704"/>
    <w:rsid w:val="00C61049"/>
    <w:rsid w:val="00C858AF"/>
    <w:rsid w:val="00CD6C99"/>
    <w:rsid w:val="00CE735F"/>
    <w:rsid w:val="00CF79F0"/>
    <w:rsid w:val="00D24B70"/>
    <w:rsid w:val="00D5265D"/>
    <w:rsid w:val="00D9225B"/>
    <w:rsid w:val="00DA1227"/>
    <w:rsid w:val="00DC0DFB"/>
    <w:rsid w:val="00DC100B"/>
    <w:rsid w:val="00DD56E9"/>
    <w:rsid w:val="00DF21CD"/>
    <w:rsid w:val="00DF59A7"/>
    <w:rsid w:val="00E216DE"/>
    <w:rsid w:val="00E34C10"/>
    <w:rsid w:val="00E5626F"/>
    <w:rsid w:val="00E713D8"/>
    <w:rsid w:val="00E8055D"/>
    <w:rsid w:val="00E87C4E"/>
    <w:rsid w:val="00EA6928"/>
    <w:rsid w:val="00EB23FD"/>
    <w:rsid w:val="00ED5A72"/>
    <w:rsid w:val="00F07D26"/>
    <w:rsid w:val="00F10FD7"/>
    <w:rsid w:val="00F37689"/>
    <w:rsid w:val="00F45652"/>
    <w:rsid w:val="00F77CFA"/>
    <w:rsid w:val="00FB562F"/>
    <w:rsid w:val="00FD5AAA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6D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A70903"/>
    <w:rPr>
      <w:color w:val="0000FF"/>
      <w:u w:val="single"/>
    </w:rPr>
  </w:style>
  <w:style w:type="character" w:styleId="Hiperligaovisitada">
    <w:name w:val="FollowedHyperlink"/>
    <w:rsid w:val="00F456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6D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rsid w:val="00A70903"/>
    <w:rPr>
      <w:color w:val="0000FF"/>
      <w:u w:val="single"/>
    </w:rPr>
  </w:style>
  <w:style w:type="character" w:styleId="Hiperligaovisitada">
    <w:name w:val="FollowedHyperlink"/>
    <w:rsid w:val="00F456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a.be/EQAF-Gothenburg.asp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a.be/events/past/2013/EQAF_2013/Presentations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Nome: PhUSE University Day 2007</vt:lpstr>
      <vt:lpstr>Nome: PhUSE University Day 2007</vt:lpstr>
    </vt:vector>
  </TitlesOfParts>
  <Company>IST</Company>
  <LinksUpToDate>false</LinksUpToDate>
  <CharactersWithSpaces>8798</CharactersWithSpaces>
  <SharedDoc>false</SharedDoc>
  <HLinks>
    <vt:vector size="12" baseType="variant">
      <vt:variant>
        <vt:i4>196707</vt:i4>
      </vt:variant>
      <vt:variant>
        <vt:i4>6</vt:i4>
      </vt:variant>
      <vt:variant>
        <vt:i4>0</vt:i4>
      </vt:variant>
      <vt:variant>
        <vt:i4>5</vt:i4>
      </vt:variant>
      <vt:variant>
        <vt:lpwstr>http://www.eua.be/events/past/2013/EQAF_2013/Presentations.aspx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http://www.eua.be/EQAF-Gothenburg.aspx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 PhUSE University Day 2007</dc:title>
  <dc:creator>mpile</dc:creator>
  <cp:lastModifiedBy>Joao Patricio</cp:lastModifiedBy>
  <cp:revision>3</cp:revision>
  <cp:lastPrinted>2014-01-02T17:46:00Z</cp:lastPrinted>
  <dcterms:created xsi:type="dcterms:W3CDTF">2014-01-02T17:45:00Z</dcterms:created>
  <dcterms:modified xsi:type="dcterms:W3CDTF">2014-01-02T17:46:00Z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-911693463</vt:i4>
  </property>
  <property fmtid="{D5CDD505-2E9C-101B-9397-08002B2CF9AE}" pid="3" name="_NewReviewCycle">
    <vt:lpwstr/>
  </property>
  <property fmtid="{D5CDD505-2E9C-101B-9397-08002B2CF9AE}" pid="4" name="_EmailSubject">
    <vt:lpwstr>Proposta de template para resumo seminários em que participamos e 2 (primeiros) casos </vt:lpwstr>
  </property>
  <property fmtid="{D5CDD505-2E9C-101B-9397-08002B2CF9AE}" pid="5" name="_AuthorEmail">
    <vt:lpwstr>carla.patrocinio@ist.utl.pt</vt:lpwstr>
  </property>
  <property fmtid="{D5CDD505-2E9C-101B-9397-08002B2CF9AE}" pid="6" name="_AuthorEmailDisplayName">
    <vt:lpwstr>Carla Patrocinio</vt:lpwstr>
  </property>
  <property fmtid="{D5CDD505-2E9C-101B-9397-08002B2CF9AE}" pid="7" name="_ReviewingToolsShownOnce">
    <vt:lpwstr/>
  </property>
</Properties>
</file>